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C8" w:rsidRDefault="000D02C8" w:rsidP="00D9134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Fonts w:hint="eastAsia"/>
          <w:b/>
          <w:bCs/>
          <w:color w:val="333333"/>
          <w:sz w:val="36"/>
          <w:szCs w:val="36"/>
        </w:rPr>
        <w:t>国家发展改革委等部门关于推进共建“一带一路”绿色发展的意见</w:t>
      </w:r>
      <w:r>
        <w:rPr>
          <w:rFonts w:hint="eastAsia"/>
          <w:color w:val="333333"/>
        </w:rPr>
        <w:br/>
      </w:r>
      <w:proofErr w:type="gramStart"/>
      <w:r>
        <w:rPr>
          <w:rFonts w:ascii="楷体" w:eastAsia="楷体" w:hAnsi="楷体" w:hint="eastAsia"/>
          <w:color w:val="333333"/>
        </w:rPr>
        <w:t>发改开放</w:t>
      </w:r>
      <w:proofErr w:type="gramEnd"/>
      <w:r>
        <w:rPr>
          <w:rFonts w:ascii="楷体" w:eastAsia="楷体" w:hAnsi="楷体" w:hint="eastAsia"/>
          <w:color w:val="333333"/>
        </w:rPr>
        <w:t>〔2022〕408号</w:t>
      </w:r>
    </w:p>
    <w:p w:rsidR="00D91346" w:rsidRDefault="00D91346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</w:p>
    <w:p w:rsidR="000D02C8" w:rsidRDefault="000D02C8" w:rsidP="003E69D2">
      <w:pPr>
        <w:pStyle w:val="a3"/>
        <w:shd w:val="clear" w:color="auto" w:fill="FFFFFF"/>
        <w:spacing w:before="0" w:beforeAutospacing="0" w:after="225" w:afterAutospacing="0"/>
        <w:rPr>
          <w:color w:val="333333"/>
        </w:rPr>
      </w:pPr>
      <w:r>
        <w:rPr>
          <w:rFonts w:hint="eastAsia"/>
          <w:color w:val="333333"/>
        </w:rPr>
        <w:t>各省、自治区、直辖市及计划单列市、新疆生产建设兵团推进“一带一路”建设工作领导小组，推进</w:t>
      </w:r>
      <w:bookmarkStart w:id="0" w:name="_GoBack"/>
      <w:bookmarkEnd w:id="0"/>
      <w:r>
        <w:rPr>
          <w:rFonts w:hint="eastAsia"/>
          <w:color w:val="333333"/>
        </w:rPr>
        <w:t>“一带一路”建设工作领导小组成员单位，银保监会、证监会、铁路局、民航局：</w:t>
      </w:r>
    </w:p>
    <w:p w:rsidR="000D02C8" w:rsidRDefault="000D02C8" w:rsidP="003E69D2">
      <w:pPr>
        <w:pStyle w:val="a3"/>
        <w:shd w:val="clear" w:color="auto" w:fill="FFFFFF"/>
        <w:spacing w:before="0" w:beforeAutospacing="0" w:after="225" w:afterAutospacing="0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推进共建“一带一路”绿色发展，是</w:t>
      </w:r>
      <w:proofErr w:type="gramStart"/>
      <w:r>
        <w:rPr>
          <w:rFonts w:hint="eastAsia"/>
          <w:color w:val="333333"/>
        </w:rPr>
        <w:t>践行</w:t>
      </w:r>
      <w:proofErr w:type="gramEnd"/>
      <w:r>
        <w:rPr>
          <w:rFonts w:hint="eastAsia"/>
          <w:color w:val="333333"/>
        </w:rPr>
        <w:t>绿色发展理念、推进生态文明建设的内在要求，是积极应对气候变化、维护全球生态安全的重大举措，是推进共建“一带一路”高质量发展、构建人与自然生命共同体的重要载体。共建“一带一路”倡议提出以来，特别是习近平总书记提出建设绿色丝绸之路5年来，共建“一带一路”绿色发展取得积极进展，理念引领不断增强，交流机制不断完善，务实合作不断深化，我国成为全球生态文明建设的重要参与者、贡献者、引领者。同时，共建“一带一路”绿色发展面临的风险挑战依然突出，生态环保国际合作水平有待提升，应对气候变化约束条件更为严格。为进一步推进共建“一带一路”绿色发展，让绿色切实成为共建“一带一路”的底色，</w:t>
      </w:r>
      <w:proofErr w:type="gramStart"/>
      <w:r>
        <w:rPr>
          <w:rFonts w:hint="eastAsia"/>
          <w:color w:val="333333"/>
        </w:rPr>
        <w:t>经推进</w:t>
      </w:r>
      <w:proofErr w:type="gramEnd"/>
      <w:r>
        <w:rPr>
          <w:rFonts w:hint="eastAsia"/>
          <w:color w:val="333333"/>
        </w:rPr>
        <w:t>“一带一路”建设工作领导小组同意，现提出如下意见。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0" w:afterAutospacing="0"/>
        <w:ind w:firstLine="643"/>
        <w:rPr>
          <w:color w:val="333333"/>
        </w:rPr>
      </w:pPr>
      <w:r>
        <w:rPr>
          <w:rFonts w:hint="eastAsia"/>
          <w:b/>
          <w:bCs/>
          <w:color w:val="333333"/>
        </w:rPr>
        <w:t>一、总体要求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一）指导思想。以习近平新时代中国特色社会主义思想为指导，全面贯彻党的十九大和十九届历次全会精神，深入贯彻习近平生态文明思想和习近平总书记关于共建“一带一路”的系列重要讲话精神，坚持稳中求进工作总基调，立足新发展阶段，完整、准确、全面贯彻新发展理念，构建新发展格局，坚持稳字当头、稳中求进，按照第三次“一带一路”建设座谈会会议要求，</w:t>
      </w:r>
      <w:proofErr w:type="gramStart"/>
      <w:r>
        <w:rPr>
          <w:rFonts w:hint="eastAsia"/>
          <w:color w:val="333333"/>
        </w:rPr>
        <w:t>践行</w:t>
      </w:r>
      <w:proofErr w:type="gramEnd"/>
      <w:r>
        <w:rPr>
          <w:rFonts w:hint="eastAsia"/>
          <w:color w:val="333333"/>
        </w:rPr>
        <w:t>共商共建共享原则，以高标准、可持续、惠民生为目标，坚持绿水青山就是金山银山，坚持人与自然和谐共生，建设更紧密的绿色发展伙伴关系，推动构建人与自然生命共同体。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（二）基本原则。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绿色引领，互利共赢。以绿色发展理念为引领，注重经济社会发展与生态环境保护相协调，不断充实完善绿色丝绸之路思想内涵和理念体系。坚持多边主义，坚持共同但有区别的责任原则和各自能力原则，充分尊重共建“一带一路”国家实际，互学互鉴，携手合作，促进经济社会发展与生态环境保护相协调，共享绿色发展成果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政府引导，企业主体。积极发挥政府引导作用，完善绿色发展政策支撑，搭建绿色交流合作平台，建立环境风险防控体系。更好发挥企业主体作用，压实企业生态环境保护主体责任，健全市场机制，调动企业参与共建“一带一路”绿色发展的积极性，鼓励全社会共同参与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lastRenderedPageBreak/>
        <w:t>统筹推进，示范带动。坚持系统观念，加强部门、地方、企业联动，完善共建“一带一路”绿色发展顶层设计和标准体系，统筹推进绿色基建、绿色能源、绿色交通、绿色金融等领域合作。完善绿色发展合作平台，扎实开展绿色领域重点项目，形成示范带动效应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依法依规，防范风险。严格遵守东道国生态环保法律法规和规则标准，高度重视当地民众绿色发展和生态环保诉求。坚持危地不往、</w:t>
      </w:r>
      <w:proofErr w:type="gramStart"/>
      <w:r>
        <w:rPr>
          <w:rFonts w:hint="eastAsia"/>
          <w:color w:val="333333"/>
        </w:rPr>
        <w:t>乱地不去</w:t>
      </w:r>
      <w:proofErr w:type="gramEnd"/>
      <w:r>
        <w:rPr>
          <w:rFonts w:hint="eastAsia"/>
          <w:color w:val="333333"/>
        </w:rPr>
        <w:t>，严防严控企业海外无序竞争。强化境外项目环境风险防控，加强企业能力建设，切实保障生态安全。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三）主要目标。到2025年，共建“一带一路”生态环保与气候变化国际交流合作不断深化，绿色丝绸之路理念得到各方认可，绿色基建、绿色能源、绿色交通、绿色金融等领域务实合作扎实推进，绿色示范项目引领作用更加明显，境外项目环境风险防范能力显著提升，共建“一带一路”绿色发展取得明显成效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到2030年，共建“一带一路”绿色发展理念更加深入人心，绿色发展伙伴关系更加紧密，“走出去”企业绿色发展能力显著增强，境外项目环境风险防控体系更加完善，共建“一带一路”绿色发展格局基本形成。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0" w:afterAutospacing="0"/>
        <w:ind w:firstLine="643"/>
        <w:rPr>
          <w:color w:val="333333"/>
        </w:rPr>
      </w:pPr>
      <w:r>
        <w:rPr>
          <w:rFonts w:hint="eastAsia"/>
          <w:b/>
          <w:bCs/>
          <w:color w:val="333333"/>
        </w:rPr>
        <w:t>二、统筹推进绿色发展重点领域合作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四）加强绿色基础设施互联互通。引导企业推广基础设施绿色环保标准和最佳实践，在设计阶段合理选址选线，降低对各类保护区和生态敏感脆弱区的影响，做好环境影响评价工作，在建设期和运行期实施切实可行的生态环境保护措施，不断提升基础设施运营、管理和维护过程中的绿色低碳发展水平。引导企业在建设境外基础设施过程中采用节能节水标准，减少材料、能源和水资源浪费，提高资源利用率，降低废弃物排放，加强废弃物处理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五）加强绿色能源合作。深化绿色清洁能源合作，推动能源国际合作绿色低碳转型发展。鼓励太阳能发电、风电等企业“走出去”，推动建成一批绿色能源最佳实践项目。深化能源技术装备领域合作，重点围绕高效低成本可再生能源发电、先进核电、智能电网、氢能、储能、二氧化碳捕集利用与封存等开展联合研究及交流培训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六）加强绿色交通合作。加强绿色交通领域国际合作，助力共建“一带一路”国家发展绿色交通。积极推动国际海运和国际航空低碳发展。推广新能源和清洁能源车船等节能低碳型交通工具，推广智能交通中国方案。鼓励企业参与境外铁路电气化升级改造项目，巩固稳定提升中欧班</w:t>
      </w:r>
      <w:proofErr w:type="gramStart"/>
      <w:r>
        <w:rPr>
          <w:rFonts w:hint="eastAsia"/>
          <w:color w:val="333333"/>
        </w:rPr>
        <w:t>列良好</w:t>
      </w:r>
      <w:proofErr w:type="gramEnd"/>
      <w:r>
        <w:rPr>
          <w:rFonts w:hint="eastAsia"/>
          <w:color w:val="333333"/>
        </w:rPr>
        <w:t>发展态势，发展多式联运和绿色物流。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七）加强绿色产业合作。鼓励企业开展新能源产业、新能源汽车制造等领域投资合作，推动“走出去”企业绿色低碳发展。鼓励企业赴境外设立聚焦绿色低碳领域的股权投资基金，通过多种方式灵活开展绿色产业投资合作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（八）加强绿色贸易合作。持续优化贸易结构，大力发展高质量、高技术、高附加值的绿色产品贸易。加强节能环保产品和服务进出口。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lastRenderedPageBreak/>
        <w:t>（九）加强绿色金融合作。在联合国、二十国集团等多边合作框架下，推广与绿色投融资相关的自愿准则和最佳经验，促进绿色金融领域的能力建设。用好国际金融机构贷款，撬动民间绿色投资。鼓励金融机构落实《“一带一路”绿色投资原则》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十）加强绿色科技合作。加强绿色技术科技攻关和推广应用，强化基础研究和前沿技术布局，加快先进适用技术研发和推广，鼓励企业优先采用低碳、节能、节水、环保的材料与技术工艺。发挥“一带一路”科技创新行动计划等机制作用，支持在绿色技术领域开展人文交流、联合研究、平台建设等合作，实施面向可持续发展的技术转移专项行动，建设“一带一路”绿色技术储备库，推动绿色科技合作网络与基地建设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（十一）加强绿色标准合作。积极参与国际绿色标准制定，加强与共建“一带一路”国家绿色标准对接。鼓励行业协会等机构制定发布与国际接轨的行业绿色标准、规范及指南。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十二）加强应对气候变化合作。推动各方全面履行《联合国气候变化框架公约》及其《巴黎协定》，积极寻求与共建“一带一路”国家应对气候变化“最大公约数”，加强与有关国家对话交流合作，推动建立公平合理、合作共赢的全球气候治理体系。继续实施“一带一路”应对气候变化南南合作计划，推进低碳示范区建设和减缓、适应气候变化项目实施，提供绿色低碳和节能环保等应对气候变化相关物资援助，帮助共建“一带一路”国家提升应对气候变化能力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0" w:afterAutospacing="0"/>
        <w:ind w:firstLine="643"/>
        <w:rPr>
          <w:color w:val="333333"/>
        </w:rPr>
      </w:pPr>
      <w:r>
        <w:rPr>
          <w:rFonts w:hint="eastAsia"/>
          <w:b/>
          <w:bCs/>
          <w:color w:val="333333"/>
        </w:rPr>
        <w:t>三、统筹推进境外项目绿色发展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（十三）规范企业境外环境行为。压实企业境外环境行为主体责任，指导企业严格遵守东道国生态环保相关法律法规和标准规范，鼓励企业参照国际通行标准或中国更高标准开展环境保护工作。加强企业依法合</w:t>
      </w:r>
      <w:proofErr w:type="gramStart"/>
      <w:r>
        <w:rPr>
          <w:rFonts w:hint="eastAsia"/>
          <w:color w:val="333333"/>
        </w:rPr>
        <w:t>规</w:t>
      </w:r>
      <w:proofErr w:type="gramEnd"/>
      <w:r>
        <w:rPr>
          <w:rFonts w:hint="eastAsia"/>
          <w:color w:val="333333"/>
        </w:rPr>
        <w:t>经营能力建设，鼓励企业定期发布环境报告。指导有关行业协会、商会建立企业境外投资环境行为准则，通过行业自律引导企业规范环境行为。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（十四）促进煤电等项目绿色低碳发展。全面停止新建境外煤电项目，稳</w:t>
      </w:r>
      <w:proofErr w:type="gramStart"/>
      <w:r>
        <w:rPr>
          <w:rFonts w:hint="eastAsia"/>
          <w:color w:val="333333"/>
        </w:rPr>
        <w:t>慎推进</w:t>
      </w:r>
      <w:proofErr w:type="gramEnd"/>
      <w:r>
        <w:rPr>
          <w:rFonts w:hint="eastAsia"/>
          <w:color w:val="333333"/>
        </w:rPr>
        <w:t>在建境外煤电项目。推动建成境外煤电项目绿色低碳发展，鼓励相关企业加强煤炭清洁高效利用，采用高效脱硫、脱硝、除尘以及二氧化碳捕集利用与封存等先进技术，升级节能环保设施。研究推动钢铁等行业国际合作绿色低碳发展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0" w:afterAutospacing="0"/>
        <w:ind w:firstLine="643"/>
        <w:rPr>
          <w:color w:val="333333"/>
        </w:rPr>
      </w:pPr>
      <w:r>
        <w:rPr>
          <w:rFonts w:hint="eastAsia"/>
          <w:b/>
          <w:bCs/>
          <w:color w:val="333333"/>
        </w:rPr>
        <w:t>四、统筹完善绿色发展支撑保障体系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（十五）完善资金支撑保障。有序推进绿色金融市场双向开放，鼓励金融机构和相关企业在国际市场开展绿色融资，支持国际金融组织和跨国公司在境内发行绿色债券、开展绿色投资。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十六）完善绿色发展合作平台支撑保障。进一步完善“一带一路”绿色发展国际联盟，积极搭建“一带一路”绿色发展政策对话和沟通平台，不断提升国际影响力。加强“一带一路”生态环保大数据服务平台建设，加强生态环境及应对气候变化相关信息共享、技术交流合作，强化生态环保法律法规和</w:t>
      </w:r>
      <w:r>
        <w:rPr>
          <w:rFonts w:hint="eastAsia"/>
          <w:color w:val="333333"/>
        </w:rPr>
        <w:lastRenderedPageBreak/>
        <w:t>国际通行规则研究。发挥“一带一路”能源合作伙伴关系、“一带一路”可持续城市联盟等合作平台作用，建立多元交流与合作平台。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十七）完善绿色发展能力建设支撑保障。支持环境技术交流与转移基地、绿色技术示范推广基地和绿色科技园区等平台建设，强化科技创新能力保障，加强“一带一路”环境技术交流与转移中心（深圳）示范作用。实施绿色丝路使者计划，加强环境管理人员和专业技术人才互动交流，提升共建“一带一路”国家环保能力和水平。开展共建“一带一路”绿色发展专题培训，提高对共建“一带一路”绿色发展的人才支持力度。建设绿色丝绸之路新型智库，构建共建“一带一路”绿色发展智力支撑体系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十八）完善境外项目环境风险防控支撑保障。指导企业提高环境风险意识，加强境外项目环境管理，做好境外项目投资建设前的环境影响评价，及时识别和防范环境风险，采取有效的生态环保措施。组织编制重点行业绿色可持续发展指南，引导企业切实做好境外项目环境影响管理工作。通过正面引导、跟踪服务等多种措施，加强项目建设运营</w:t>
      </w:r>
      <w:proofErr w:type="gramStart"/>
      <w:r>
        <w:rPr>
          <w:rFonts w:hint="eastAsia"/>
          <w:color w:val="333333"/>
        </w:rPr>
        <w:t>期环境</w:t>
      </w:r>
      <w:proofErr w:type="gramEnd"/>
      <w:r>
        <w:rPr>
          <w:rFonts w:hint="eastAsia"/>
          <w:color w:val="333333"/>
        </w:rPr>
        <w:t>指导和服务。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0" w:afterAutospacing="0"/>
        <w:ind w:firstLine="643"/>
        <w:rPr>
          <w:color w:val="333333"/>
        </w:rPr>
      </w:pPr>
      <w:r>
        <w:rPr>
          <w:rFonts w:hint="eastAsia"/>
          <w:b/>
          <w:bCs/>
          <w:color w:val="333333"/>
        </w:rPr>
        <w:t>五、统筹加强组织实施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十九）加强组织领导。加强党对共建“一带一路”绿色发展工作的集中统一领导。推进“一带一路”建设工作领导小组办公室要加强对共建“一带一路”绿色发展工作的统筹协调和系统推进。各地方和有关部门要把共建“一带一路”绿色发展工作摆上重要位置，加强领导、统一部署，确保相关重点任务及时落地见效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（二十）加强宣传引导。加强和改进“一带一路”国际传播工作，及时澄清、批驳负面声音和不实炒作；强化正面舆论引导，讲好共建“一带一路”绿色发展“中国故事”。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225" w:afterAutospacing="0"/>
        <w:ind w:firstLine="640"/>
        <w:rPr>
          <w:color w:val="333333"/>
        </w:rPr>
      </w:pPr>
      <w:r>
        <w:rPr>
          <w:rFonts w:hint="eastAsia"/>
          <w:color w:val="333333"/>
        </w:rPr>
        <w:t>（二十一）加强跟踪评估。推进“一带一路”建设工作领导小组办公室要加强共建“一带一路”绿色发展各项任务的指导规范，及时掌握进展情况，适时组织开展评估。各地方和有关部门贯彻落实情况要及时报送推进“一带一路”建设工作领导小组办公室。</w:t>
      </w:r>
    </w:p>
    <w:p w:rsidR="000D02C8" w:rsidRDefault="000D02C8" w:rsidP="000D02C8">
      <w:pPr>
        <w:pStyle w:val="a3"/>
        <w:shd w:val="clear" w:color="auto" w:fill="FFFFFF"/>
        <w:spacing w:before="0" w:beforeAutospacing="0" w:after="0" w:afterAutospacing="0"/>
        <w:ind w:firstLine="640"/>
        <w:jc w:val="right"/>
        <w:rPr>
          <w:color w:val="333333"/>
        </w:rPr>
      </w:pPr>
      <w:r>
        <w:rPr>
          <w:rFonts w:hint="eastAsia"/>
          <w:color w:val="333333"/>
        </w:rPr>
        <w:t>国家发展改革委</w:t>
      </w:r>
      <w:r>
        <w:rPr>
          <w:rFonts w:hint="eastAsia"/>
          <w:color w:val="333333"/>
        </w:rPr>
        <w:br/>
        <w:t>外交部</w:t>
      </w:r>
      <w:r>
        <w:rPr>
          <w:rFonts w:hint="eastAsia"/>
          <w:color w:val="333333"/>
        </w:rPr>
        <w:br/>
        <w:t>生态环境部</w:t>
      </w:r>
      <w:r>
        <w:rPr>
          <w:rFonts w:hint="eastAsia"/>
          <w:color w:val="333333"/>
        </w:rPr>
        <w:br/>
        <w:t>商务部</w:t>
      </w:r>
      <w:r>
        <w:rPr>
          <w:rFonts w:hint="eastAsia"/>
          <w:color w:val="333333"/>
        </w:rPr>
        <w:br/>
        <w:t>2022年3月16日</w:t>
      </w:r>
    </w:p>
    <w:p w:rsidR="00FC48D9" w:rsidRPr="000D02C8" w:rsidRDefault="003E69D2">
      <w:pPr>
        <w:ind w:firstLine="640"/>
      </w:pPr>
    </w:p>
    <w:sectPr w:rsidR="00FC48D9" w:rsidRPr="000D0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AA13D"/>
    <w:multiLevelType w:val="singleLevel"/>
    <w:tmpl w:val="1B3AD9BC"/>
    <w:lvl w:ilvl="0">
      <w:start w:val="2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C8"/>
    <w:rsid w:val="000B2B85"/>
    <w:rsid w:val="000D02C8"/>
    <w:rsid w:val="0013258D"/>
    <w:rsid w:val="001E5175"/>
    <w:rsid w:val="003E69D2"/>
    <w:rsid w:val="00551713"/>
    <w:rsid w:val="007B5FDC"/>
    <w:rsid w:val="00972755"/>
    <w:rsid w:val="00A07780"/>
    <w:rsid w:val="00B46A0F"/>
    <w:rsid w:val="00B555AC"/>
    <w:rsid w:val="00D9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BE47"/>
  <w15:chartTrackingRefBased/>
  <w15:docId w15:val="{0B29306F-7E87-4678-8B7F-9342BC68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780"/>
    <w:pPr>
      <w:widowControl w:val="0"/>
      <w:spacing w:line="540" w:lineRule="exact"/>
      <w:ind w:firstLineChars="200" w:firstLine="20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autoRedefine/>
    <w:qFormat/>
    <w:rsid w:val="00B46A0F"/>
    <w:pPr>
      <w:keepNext/>
      <w:keepLines/>
      <w:widowControl/>
      <w:ind w:firstLineChars="0" w:firstLine="0"/>
      <w:jc w:val="center"/>
      <w:outlineLvl w:val="0"/>
    </w:pPr>
    <w:rPr>
      <w:rFonts w:ascii="仿宋" w:eastAsia="宋体" w:hAnsi="仿宋"/>
      <w:b/>
      <w:kern w:val="44"/>
      <w:sz w:val="44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551713"/>
    <w:pPr>
      <w:keepNext/>
      <w:keepLines/>
      <w:numPr>
        <w:numId w:val="2"/>
      </w:numPr>
      <w:outlineLvl w:val="1"/>
    </w:pPr>
    <w:rPr>
      <w:rFonts w:ascii="仿宋" w:eastAsia="黑体" w:hAnsi="仿宋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B2B85"/>
    <w:pPr>
      <w:keepNext/>
      <w:keepLines/>
      <w:outlineLvl w:val="2"/>
    </w:pPr>
    <w:rPr>
      <w:rFonts w:eastAsia="楷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B46A0F"/>
    <w:rPr>
      <w:rFonts w:ascii="仿宋" w:eastAsia="宋体" w:hAnsi="仿宋"/>
      <w:b/>
      <w:kern w:val="44"/>
      <w:sz w:val="44"/>
      <w:szCs w:val="32"/>
    </w:rPr>
  </w:style>
  <w:style w:type="character" w:customStyle="1" w:styleId="20">
    <w:name w:val="标题 2 字符"/>
    <w:basedOn w:val="a0"/>
    <w:link w:val="2"/>
    <w:rsid w:val="00551713"/>
    <w:rPr>
      <w:rFonts w:ascii="仿宋" w:eastAsia="黑体" w:hAnsi="仿宋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B2B85"/>
    <w:rPr>
      <w:rFonts w:eastAsia="楷体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0D02C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3462</Characters>
  <Application>Microsoft Office Word</Application>
  <DocSecurity>0</DocSecurity>
  <Lines>28</Lines>
  <Paragraphs>8</Paragraphs>
  <ScaleCrop>false</ScaleCrop>
  <Company>Microsoft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蔡恒培</dc:creator>
  <cp:keywords/>
  <dc:description/>
  <cp:lastModifiedBy>蔡恒培</cp:lastModifiedBy>
  <cp:revision>5</cp:revision>
  <dcterms:created xsi:type="dcterms:W3CDTF">2023-05-10T09:16:00Z</dcterms:created>
  <dcterms:modified xsi:type="dcterms:W3CDTF">2023-06-06T02:17:00Z</dcterms:modified>
</cp:coreProperties>
</file>