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cs="微软雅黑"/>
          <w:b/>
          <w:bCs/>
          <w:color w:val="000000"/>
          <w:sz w:val="36"/>
          <w:szCs w:val="36"/>
          <w:shd w:val="clear" w:color="auto" w:fill="FFFFFF"/>
        </w:rPr>
      </w:pPr>
      <w:r>
        <w:rPr>
          <w:rFonts w:hint="eastAsia"/>
          <w:b/>
          <w:sz w:val="36"/>
          <w:szCs w:val="36"/>
        </w:rPr>
        <w:t>百色新铝电力有限公司2</w:t>
      </w:r>
      <w:r>
        <w:rPr>
          <w:b/>
          <w:sz w:val="36"/>
          <w:szCs w:val="36"/>
        </w:rPr>
        <w:t>022</w:t>
      </w:r>
      <w:r>
        <w:rPr>
          <w:rFonts w:hint="eastAsia"/>
          <w:b/>
          <w:sz w:val="36"/>
          <w:szCs w:val="36"/>
        </w:rPr>
        <w:t>届招聘简章</w:t>
      </w:r>
    </w:p>
    <w:p>
      <w:pPr>
        <w:rPr>
          <w:rFonts w:hint="eastAsia" w:ascii="仿宋" w:hAnsi="仿宋" w:eastAsia="仿宋" w:cs="仿宋"/>
          <w:sz w:val="32"/>
          <w:szCs w:val="32"/>
        </w:rPr>
      </w:pPr>
      <w:r>
        <w:rPr>
          <w:rFonts w:hint="eastAsia" w:ascii="微软雅黑" w:hAnsi="微软雅黑" w:cs="微软雅黑"/>
          <w:b/>
          <w:sz w:val="24"/>
          <w:szCs w:val="24"/>
        </w:rPr>
        <w:t>一、企业简介</w:t>
      </w:r>
    </w:p>
    <w:p>
      <w:pPr>
        <w:spacing w:line="560" w:lineRule="exact"/>
        <w:rPr>
          <w:rFonts w:hint="eastAsia" w:ascii="微软雅黑" w:hAnsi="微软雅黑"/>
          <w:kern w:val="2"/>
        </w:rPr>
      </w:pPr>
      <w:r>
        <w:rPr>
          <w:rFonts w:hint="eastAsia" w:ascii="微软雅黑" w:hAnsi="微软雅黑"/>
          <w:kern w:val="2"/>
        </w:rPr>
        <w:t>百色新铝电力有限公司原是由百色市人民政府主导的国有控股混合所有制企业，注册资本3亿元人民币，其中国有控股74%，民营占股26%。组建目标和主要职能是建设统一调度、独立运营的区域电网，以企业自备电厂为主供电源，吸收百色水电资源以及考虑引进周边有电价竞争力的电源电量，破除百色铝产业发展的电价“瓶颈”，加快推进国家批复的生态型铝产业基地建设。公司主要从事区域电网规划、建设、运营、维护管理等。2019年，百色新铝电力有限公司参与百色百矿集团混改，混改后百色新铝电力有限公司股份构成：吉利百矿集团有限公司（吉利科技集团控股百矿集团75%、百色市政府占股25%）持股50%，中铝广西投资发展有限公司持股16%，广西信发铝电有限公司持股13%，广西投资集团银海铝业有限公司持股8%，广西苏源投资股份有限公司持股8%，广西田东锦盛化工有限公司持股2.5%，广西田东锦鑫化工有限公司持股2.5%。</w:t>
      </w:r>
    </w:p>
    <w:p>
      <w:pPr>
        <w:spacing w:line="560" w:lineRule="exact"/>
        <w:rPr>
          <w:rFonts w:hint="eastAsia" w:ascii="微软雅黑" w:hAnsi="微软雅黑"/>
          <w:kern w:val="2"/>
        </w:rPr>
      </w:pPr>
      <w:r>
        <w:rPr>
          <w:rFonts w:hint="eastAsia" w:ascii="微软雅黑" w:hAnsi="微软雅黑"/>
          <w:kern w:val="2"/>
        </w:rPr>
        <w:t>公司所辖百色生态型铝产业区域电网为220kV系统网架，项目于2014年8月开工建设，一、二期工程分别于2015年底、2017年底投入运营，当前电网独立运行。建成220kV田阳新山、田东莲塘、靖西湖润、德保安阳变电站4座，电网线路总长约320千米，覆盖了百色市2区2县2市（右江区、田阳区、田东县、德保县、平果市、靖西市）。电网网内发电机组9台，总装机容量232万千瓦；网内运行负荷约160万千瓦，主要是吉利百矿集团新山铝、德保铝和广西华磊电解铝负荷。2019年9月电网实现了与百色电力电网、贵州万峰电网的“三网”联网运行。2019年电网供电量为129亿千瓦时，投运以来累计供电量已超300亿千瓦时。计划未来三年，积极整合周边有竞争力的电源电量入网，同时积极发展新增负荷，进一步壮大区域电网，规划至2022年末，电网电源装机总容量达628万千瓦，网内负荷达443万千瓦，致力于打造为股东和地方工业企业提供有竞争力电价成本电源方案的西南地区有影响力的电力供应平台。</w:t>
      </w:r>
    </w:p>
    <w:p>
      <w:pPr>
        <w:spacing w:line="560" w:lineRule="exact"/>
        <w:rPr>
          <w:rFonts w:hint="eastAsia" w:ascii="微软雅黑" w:hAnsi="微软雅黑"/>
          <w:kern w:val="2"/>
        </w:rPr>
      </w:pPr>
      <w:r>
        <w:rPr>
          <w:rFonts w:hint="eastAsia" w:ascii="微软雅黑" w:hAnsi="微软雅黑"/>
          <w:kern w:val="2"/>
        </w:rPr>
        <w:t>百色生态型铝产业区域电网在推动百色煤电铝一体化项目建设、振兴左右江革命老区、推进电力供给侧改革、推进广西铝产业“二次创业”中发挥了重要作用，是补“短板”、打赢铝产业转型升级攻坚战、实现产业高质量发展的关键。电网建设以来，得到国家和自治区有关部门以及社会各界的高度重视和大力支持。未来，电网将逐步发展壮大，平台功能作用愈加明显，将在全力推动广西百色重点开发开放试验区建设及推动地方经济社会发展中发挥更加积极作用。</w:t>
      </w:r>
    </w:p>
    <w:p>
      <w:pPr>
        <w:rPr>
          <w:rFonts w:hint="eastAsia" w:ascii="微软雅黑" w:hAnsi="微软雅黑" w:cs="微软雅黑"/>
          <w:b/>
          <w:sz w:val="24"/>
          <w:szCs w:val="24"/>
          <w:lang w:eastAsia="zh-CN"/>
        </w:rPr>
      </w:pPr>
      <w:r>
        <w:rPr>
          <w:rFonts w:hint="eastAsia" w:ascii="微软雅黑" w:hAnsi="微软雅黑" w:cs="微软雅黑"/>
          <w:b/>
          <w:sz w:val="24"/>
          <w:szCs w:val="24"/>
          <w:lang w:eastAsia="zh-CN"/>
        </w:rPr>
        <w:t>二、招聘需求：</w:t>
      </w:r>
    </w:p>
    <w:p>
      <w:pPr>
        <w:rPr>
          <w:rFonts w:hint="eastAsia" w:ascii="微软雅黑" w:hAnsi="微软雅黑"/>
          <w:kern w:val="2"/>
        </w:rPr>
      </w:pPr>
      <w:r>
        <w:rPr>
          <w:rFonts w:hint="eastAsia" w:ascii="微软雅黑" w:hAnsi="微软雅黑"/>
          <w:kern w:val="2"/>
        </w:rPr>
        <w:t>招聘岗位：调度运行值班员、自动化技术员、通信科技术员</w:t>
      </w:r>
    </w:p>
    <w:p>
      <w:pPr>
        <w:rPr>
          <w:rFonts w:hint="eastAsia" w:ascii="微软雅黑" w:hAnsi="微软雅黑"/>
          <w:kern w:val="2"/>
        </w:rPr>
      </w:pPr>
      <w:r>
        <w:rPr>
          <w:rFonts w:hint="eastAsia" w:ascii="微软雅黑" w:hAnsi="微软雅黑"/>
          <w:kern w:val="2"/>
        </w:rPr>
        <w:t>招聘专业：电气、通信、自动化、计算机相关专业</w:t>
      </w:r>
    </w:p>
    <w:p>
      <w:pPr>
        <w:rPr>
          <w:rFonts w:hint="eastAsia" w:ascii="微软雅黑" w:hAnsi="微软雅黑"/>
          <w:kern w:val="2"/>
        </w:rPr>
      </w:pPr>
      <w:r>
        <w:rPr>
          <w:rFonts w:hint="eastAsia" w:ascii="微软雅黑" w:hAnsi="微软雅黑"/>
          <w:kern w:val="2"/>
        </w:rPr>
        <w:t>招聘对象：2021届、2022届毕业生</w:t>
      </w:r>
    </w:p>
    <w:p>
      <w:pPr>
        <w:rPr>
          <w:rFonts w:hint="eastAsia" w:ascii="微软雅黑" w:hAnsi="微软雅黑"/>
          <w:kern w:val="2"/>
        </w:rPr>
      </w:pPr>
      <w:r>
        <w:rPr>
          <w:rFonts w:hint="eastAsia" w:ascii="微软雅黑" w:hAnsi="微软雅黑" w:cs="微软雅黑"/>
          <w:b/>
          <w:sz w:val="24"/>
          <w:szCs w:val="24"/>
          <w:lang w:eastAsia="zh-CN"/>
        </w:rPr>
        <w:t>三、薪酬福利：</w:t>
      </w:r>
    </w:p>
    <w:p>
      <w:pPr>
        <w:spacing w:line="560" w:lineRule="exact"/>
        <w:rPr>
          <w:rFonts w:hint="eastAsia" w:ascii="微软雅黑" w:hAnsi="微软雅黑"/>
          <w:kern w:val="2"/>
        </w:rPr>
      </w:pPr>
      <w:r>
        <w:rPr>
          <w:rFonts w:hint="eastAsia" w:ascii="微软雅黑" w:hAnsi="微软雅黑"/>
          <w:kern w:val="2"/>
        </w:rPr>
        <w:t>1、薪酬=岗位工资+绩效工资+辅助工资（年功工资、技术津贴、夜餐补助等），优秀名校毕业生待遇面谈</w:t>
      </w:r>
    </w:p>
    <w:p>
      <w:pPr>
        <w:spacing w:line="560" w:lineRule="exact"/>
        <w:rPr>
          <w:rFonts w:hint="eastAsia" w:ascii="微软雅黑" w:hAnsi="微软雅黑"/>
          <w:kern w:val="2"/>
        </w:rPr>
      </w:pPr>
      <w:r>
        <w:rPr>
          <w:rFonts w:hint="eastAsia" w:ascii="微软雅黑" w:hAnsi="微软雅黑"/>
          <w:kern w:val="2"/>
        </w:rPr>
        <w:t>2、各项福利及补贴：提供住宿、交通补助、餐费补贴、节日福利、生日福利、健康体检、高温津贴、清凉饮料等</w:t>
      </w:r>
    </w:p>
    <w:p>
      <w:pPr>
        <w:spacing w:line="560" w:lineRule="exact"/>
        <w:rPr>
          <w:rFonts w:hint="eastAsia" w:ascii="微软雅黑" w:hAnsi="微软雅黑" w:eastAsia="微软雅黑"/>
          <w:kern w:val="2"/>
          <w:lang w:eastAsia="zh-CN"/>
        </w:rPr>
      </w:pPr>
      <w:r>
        <w:rPr>
          <w:rFonts w:hint="eastAsia" w:ascii="微软雅黑" w:hAnsi="微软雅黑"/>
          <w:kern w:val="2"/>
        </w:rPr>
        <w:t>3、七险二金：社会保险、商业保险、职工医疗互助、住房公积金、企业年金</w:t>
      </w:r>
      <w:r>
        <w:rPr>
          <w:rFonts w:hint="eastAsia" w:ascii="微软雅黑" w:hAnsi="微软雅黑"/>
          <w:kern w:val="2"/>
          <w:lang w:eastAsia="zh-CN"/>
        </w:rPr>
        <w:t>等</w:t>
      </w:r>
      <w:bookmarkStart w:id="0" w:name="_GoBack"/>
      <w:bookmarkEnd w:id="0"/>
    </w:p>
    <w:p>
      <w:pPr>
        <w:rPr>
          <w:rFonts w:ascii="微软雅黑" w:hAnsi="微软雅黑" w:cs="微软雅黑"/>
          <w:b/>
          <w:sz w:val="24"/>
          <w:szCs w:val="24"/>
        </w:rPr>
      </w:pPr>
      <w:r>
        <w:rPr>
          <w:rFonts w:hint="eastAsia" w:ascii="微软雅黑" w:hAnsi="微软雅黑" w:cs="微软雅黑"/>
          <w:b/>
          <w:sz w:val="24"/>
          <w:szCs w:val="24"/>
        </w:rPr>
        <w:t>四、投递方式：</w:t>
      </w:r>
    </w:p>
    <w:p>
      <w:pPr>
        <w:pStyle w:val="2"/>
        <w:rPr>
          <w:rFonts w:ascii="宋体" w:hAnsi="宋体" w:eastAsia="宋体" w:cs="宋体"/>
          <w:b/>
          <w:bCs/>
          <w:color w:val="0000FF"/>
          <w:sz w:val="24"/>
          <w:szCs w:val="24"/>
        </w:rPr>
      </w:pPr>
      <w:r>
        <w:rPr>
          <w:rFonts w:hint="eastAsia" w:ascii="宋体" w:hAnsi="宋体" w:eastAsia="宋体" w:cs="宋体"/>
          <w:b/>
          <w:bCs/>
          <w:color w:val="0000FF"/>
          <w:sz w:val="24"/>
          <w:szCs w:val="24"/>
        </w:rPr>
        <w:t>1、微信扫码查看详情，在线投递简历</w:t>
      </w:r>
    </w:p>
    <w:p>
      <w:pPr>
        <w:pStyle w:val="2"/>
        <w:rPr>
          <w:rFonts w:ascii="宋体" w:hAnsi="宋体" w:eastAsia="宋体" w:cs="宋体"/>
          <w:b/>
          <w:bCs/>
          <w:sz w:val="24"/>
          <w:szCs w:val="24"/>
        </w:rPr>
      </w:pPr>
      <w:r>
        <w:rPr>
          <w:rFonts w:hint="eastAsia" w:ascii="宋体" w:hAnsi="宋体" w:eastAsia="宋体" w:cs="宋体"/>
          <w:b/>
          <w:bCs/>
          <w:sz w:val="24"/>
          <w:szCs w:val="24"/>
        </w:rPr>
        <w:t>填写简历时，意向行业选择“</w:t>
      </w:r>
      <w:r>
        <w:rPr>
          <w:rFonts w:hint="default" w:ascii="宋体" w:hAnsi="宋体" w:eastAsia="宋体" w:cs="宋体"/>
          <w:b/>
          <w:bCs/>
          <w:sz w:val="24"/>
          <w:szCs w:val="24"/>
          <w:lang w:val="en-US" w:eastAsia="zh-CN"/>
        </w:rPr>
        <w:t>电力-细分行业</w:t>
      </w:r>
      <w:r>
        <w:rPr>
          <w:rFonts w:hint="eastAsia" w:ascii="宋体" w:hAnsi="宋体" w:eastAsia="宋体" w:cs="宋体"/>
          <w:b/>
          <w:bCs/>
          <w:sz w:val="24"/>
          <w:szCs w:val="24"/>
        </w:rPr>
        <w:t>”</w:t>
      </w:r>
    </w:p>
    <w:p>
      <w:pPr>
        <w:pStyle w:val="2"/>
        <w:rPr>
          <w:rFonts w:hint="eastAsia" w:eastAsia="Microsoft YaHei UI"/>
          <w:lang w:eastAsia="zh-CN"/>
        </w:rPr>
      </w:pPr>
      <w:r>
        <w:rPr>
          <w:rFonts w:hint="eastAsia" w:eastAsia="Microsoft YaHei UI"/>
          <w:lang w:eastAsia="zh-CN"/>
        </w:rPr>
        <w:drawing>
          <wp:inline distT="0" distB="0" distL="114300" distR="114300">
            <wp:extent cx="2809875" cy="3143250"/>
            <wp:effectExtent l="0" t="0" r="9525" b="0"/>
            <wp:docPr id="2" name="图片 2" descr="gong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gongsi"/>
                    <pic:cNvPicPr>
                      <a:picLocks noChangeAspect="1"/>
                    </pic:cNvPicPr>
                  </pic:nvPicPr>
                  <pic:blipFill>
                    <a:blip r:embed="rId5"/>
                    <a:stretch>
                      <a:fillRect/>
                    </a:stretch>
                  </pic:blipFill>
                  <pic:spPr>
                    <a:xfrm>
                      <a:off x="0" y="0"/>
                      <a:ext cx="2809875" cy="3143250"/>
                    </a:xfrm>
                    <a:prstGeom prst="rect">
                      <a:avLst/>
                    </a:prstGeom>
                  </pic:spPr>
                </pic:pic>
              </a:graphicData>
            </a:graphic>
          </wp:inline>
        </w:drawing>
      </w:r>
    </w:p>
    <w:p>
      <w:pPr>
        <w:rPr>
          <w:rFonts w:ascii="微软雅黑" w:hAnsi="微软雅黑" w:cs="微软雅黑"/>
          <w:b/>
          <w:bCs/>
          <w:color w:val="0000FF"/>
          <w:sz w:val="24"/>
          <w:szCs w:val="24"/>
        </w:rPr>
      </w:pPr>
      <w:r>
        <w:rPr>
          <w:rFonts w:hint="eastAsia" w:ascii="微软雅黑" w:hAnsi="微软雅黑" w:cs="微软雅黑"/>
          <w:b/>
          <w:bCs/>
          <w:color w:val="0000FF"/>
          <w:sz w:val="24"/>
          <w:szCs w:val="24"/>
        </w:rPr>
        <w:t>2、通过空中宣讲直播间投递</w:t>
      </w:r>
    </w:p>
    <w:p>
      <w:pPr>
        <w:rPr>
          <w:rFonts w:ascii="微软雅黑" w:hAnsi="微软雅黑" w:cs="微软雅黑"/>
          <w:sz w:val="24"/>
          <w:szCs w:val="24"/>
        </w:rPr>
      </w:pPr>
      <w:r>
        <w:rPr>
          <w:rFonts w:hint="eastAsia" w:ascii="微软雅黑" w:hAnsi="微软雅黑" w:cs="微软雅黑"/>
          <w:sz w:val="24"/>
          <w:szCs w:val="24"/>
        </w:rPr>
        <w:t>空中宣讲会时间：202</w:t>
      </w:r>
      <w:r>
        <w:rPr>
          <w:rFonts w:ascii="微软雅黑" w:hAnsi="微软雅黑" w:cs="微软雅黑"/>
          <w:sz w:val="24"/>
          <w:szCs w:val="24"/>
        </w:rPr>
        <w:t>1</w:t>
      </w:r>
      <w:r>
        <w:rPr>
          <w:rFonts w:hint="eastAsia" w:ascii="微软雅黑" w:hAnsi="微软雅黑" w:cs="微软雅黑"/>
          <w:sz w:val="24"/>
          <w:szCs w:val="24"/>
        </w:rPr>
        <w:t>年</w:t>
      </w:r>
      <w:r>
        <w:rPr>
          <w:rFonts w:hint="eastAsia" w:ascii="微软雅黑" w:hAnsi="微软雅黑" w:cs="微软雅黑"/>
          <w:sz w:val="24"/>
          <w:szCs w:val="24"/>
          <w:lang w:val="en-US" w:eastAsia="zh-CN"/>
        </w:rPr>
        <w:t>11</w:t>
      </w:r>
      <w:r>
        <w:rPr>
          <w:rFonts w:hint="eastAsia" w:ascii="微软雅黑" w:hAnsi="微软雅黑" w:cs="微软雅黑"/>
          <w:sz w:val="24"/>
          <w:szCs w:val="24"/>
        </w:rPr>
        <w:t>月</w:t>
      </w:r>
      <w:r>
        <w:rPr>
          <w:rFonts w:hint="eastAsia" w:ascii="微软雅黑" w:hAnsi="微软雅黑" w:cs="微软雅黑"/>
          <w:sz w:val="24"/>
          <w:szCs w:val="24"/>
          <w:lang w:val="en-US" w:eastAsia="zh-CN"/>
        </w:rPr>
        <w:t>9</w:t>
      </w:r>
      <w:r>
        <w:rPr>
          <w:rFonts w:hint="eastAsia" w:ascii="微软雅黑" w:hAnsi="微软雅黑" w:cs="微软雅黑"/>
          <w:sz w:val="24"/>
          <w:szCs w:val="24"/>
        </w:rPr>
        <w:t>日14:30</w:t>
      </w:r>
    </w:p>
    <w:p>
      <w:pPr>
        <w:rPr>
          <w:rFonts w:ascii="微软雅黑" w:hAnsi="微软雅黑" w:cs="微软雅黑"/>
          <w:sz w:val="24"/>
          <w:szCs w:val="24"/>
        </w:rPr>
      </w:pPr>
      <w:r>
        <w:rPr>
          <w:rFonts w:hint="eastAsia" w:ascii="微软雅黑" w:hAnsi="微软雅黑" w:cs="微软雅黑"/>
          <w:sz w:val="24"/>
          <w:szCs w:val="24"/>
        </w:rPr>
        <w:t>【百色新铝电力有限公司】开启“20</w:t>
      </w:r>
      <w:r>
        <w:rPr>
          <w:rFonts w:ascii="微软雅黑" w:hAnsi="微软雅黑" w:cs="微软雅黑"/>
          <w:sz w:val="24"/>
          <w:szCs w:val="24"/>
        </w:rPr>
        <w:t>21</w:t>
      </w:r>
      <w:r>
        <w:rPr>
          <w:rFonts w:hint="eastAsia" w:ascii="微软雅黑" w:hAnsi="微软雅黑" w:cs="微软雅黑"/>
          <w:sz w:val="24"/>
          <w:szCs w:val="24"/>
        </w:rPr>
        <w:t>年秋季校园空中宣讲会”，将以直播的形式直播招聘，欢迎广大应届生参加我们的空中宣讲会</w:t>
      </w:r>
    </w:p>
    <w:p>
      <w:pPr>
        <w:rPr>
          <w:rFonts w:hint="eastAsia" w:ascii="微软雅黑" w:hAnsi="微软雅黑" w:cs="微软雅黑"/>
          <w:sz w:val="24"/>
          <w:szCs w:val="24"/>
        </w:rPr>
      </w:pPr>
      <w:r>
        <w:rPr>
          <w:rFonts w:hint="eastAsia" w:ascii="微软雅黑" w:hAnsi="微软雅黑" w:cs="微软雅黑"/>
          <w:sz w:val="24"/>
          <w:szCs w:val="24"/>
        </w:rPr>
        <w:t>电脑观看宣讲会地址：</w:t>
      </w:r>
      <w:r>
        <w:rPr>
          <w:rFonts w:hint="eastAsia" w:ascii="微软雅黑" w:hAnsi="微软雅黑" w:cs="微软雅黑"/>
          <w:sz w:val="24"/>
          <w:szCs w:val="24"/>
        </w:rPr>
        <w:fldChar w:fldCharType="begin"/>
      </w:r>
      <w:r>
        <w:rPr>
          <w:rFonts w:hint="eastAsia" w:ascii="微软雅黑" w:hAnsi="微软雅黑" w:cs="微软雅黑"/>
          <w:sz w:val="24"/>
          <w:szCs w:val="24"/>
        </w:rPr>
        <w:instrText xml:space="preserve"> HYPERLINK "https://tv.bjx.com.cn/live/36496091/" </w:instrText>
      </w:r>
      <w:r>
        <w:rPr>
          <w:rFonts w:hint="eastAsia" w:ascii="微软雅黑" w:hAnsi="微软雅黑" w:cs="微软雅黑"/>
          <w:sz w:val="24"/>
          <w:szCs w:val="24"/>
        </w:rPr>
        <w:fldChar w:fldCharType="separate"/>
      </w:r>
      <w:r>
        <w:rPr>
          <w:rStyle w:val="7"/>
          <w:rFonts w:hint="eastAsia" w:ascii="微软雅黑" w:hAnsi="微软雅黑" w:cs="微软雅黑"/>
          <w:sz w:val="24"/>
          <w:szCs w:val="24"/>
        </w:rPr>
        <w:t>https://tv.bjx.com.cn/live/36496091/</w:t>
      </w:r>
      <w:r>
        <w:rPr>
          <w:rFonts w:hint="eastAsia" w:ascii="微软雅黑" w:hAnsi="微软雅黑" w:cs="微软雅黑"/>
          <w:sz w:val="24"/>
          <w:szCs w:val="24"/>
        </w:rPr>
        <w:fldChar w:fldCharType="end"/>
      </w:r>
    </w:p>
    <w:p>
      <w:pPr>
        <w:rPr>
          <w:rFonts w:ascii="微软雅黑" w:hAnsi="微软雅黑" w:cs="微软雅黑"/>
          <w:sz w:val="24"/>
          <w:szCs w:val="24"/>
        </w:rPr>
      </w:pPr>
      <w:r>
        <w:rPr>
          <w:rFonts w:hint="eastAsia" w:ascii="微软雅黑" w:hAnsi="微软雅黑" w:cs="微软雅黑"/>
          <w:sz w:val="24"/>
          <w:szCs w:val="24"/>
        </w:rPr>
        <w:t>手机观看宣讲会方式：扫描海报中二维码进入直播间，投递简历</w:t>
      </w:r>
    </w:p>
    <w:p>
      <w:pPr>
        <w:jc w:val="center"/>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drawing>
          <wp:inline distT="0" distB="0" distL="114300" distR="114300">
            <wp:extent cx="2714625" cy="4829810"/>
            <wp:effectExtent l="0" t="0" r="9525" b="8890"/>
            <wp:docPr id="3" name="图片 3" descr="招聘推广海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招聘推广海报"/>
                    <pic:cNvPicPr>
                      <a:picLocks noChangeAspect="1"/>
                    </pic:cNvPicPr>
                  </pic:nvPicPr>
                  <pic:blipFill>
                    <a:blip r:embed="rId6"/>
                    <a:stretch>
                      <a:fillRect/>
                    </a:stretch>
                  </pic:blipFill>
                  <pic:spPr>
                    <a:xfrm>
                      <a:off x="0" y="0"/>
                      <a:ext cx="2714625" cy="4829810"/>
                    </a:xfrm>
                    <a:prstGeom prst="rect">
                      <a:avLst/>
                    </a:prstGeom>
                  </pic:spPr>
                </pic:pic>
              </a:graphicData>
            </a:graphic>
          </wp:inline>
        </w:drawing>
      </w:r>
    </w:p>
    <w:p>
      <w:pPr>
        <w:rPr>
          <w:rFonts w:ascii="微软雅黑" w:hAnsi="微软雅黑" w:cs="微软雅黑"/>
          <w:b/>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"https://hbjob.bjx.com.cn/companys/60916.html" </w:instrText>
      </w:r>
      <w:r>
        <w:rPr>
          <w:rFonts w:hint="eastAsia" w:ascii="宋体" w:hAnsi="宋体" w:eastAsia="宋体" w:cs="宋体"/>
          <w:sz w:val="24"/>
          <w:szCs w:val="24"/>
        </w:rPr>
        <w:fldChar w:fldCharType="separate"/>
      </w:r>
      <w:r>
        <w:rPr>
          <w:rFonts w:hint="eastAsia" w:ascii="微软雅黑" w:hAnsi="微软雅黑" w:cs="微软雅黑"/>
          <w:b/>
          <w:sz w:val="24"/>
          <w:szCs w:val="24"/>
        </w:rPr>
        <w:t>五、联系方式</w:t>
      </w:r>
    </w:p>
    <w:p>
      <w:pPr>
        <w:rPr>
          <w:rFonts w:hint="eastAsia" w:ascii="微软雅黑" w:hAnsi="微软雅黑" w:cs="微软雅黑"/>
          <w:sz w:val="24"/>
          <w:szCs w:val="24"/>
        </w:rPr>
      </w:pPr>
      <w:r>
        <w:rPr>
          <w:rFonts w:hint="eastAsia" w:ascii="微软雅黑" w:hAnsi="微软雅黑" w:cs="微软雅黑"/>
          <w:sz w:val="24"/>
          <w:szCs w:val="24"/>
        </w:rPr>
        <w:t>推荐添加：校园招聘负责人微信：</w:t>
      </w:r>
      <w:r>
        <w:rPr>
          <w:rFonts w:hint="eastAsia" w:ascii="微软雅黑" w:hAnsi="微软雅黑" w:cs="微软雅黑"/>
          <w:sz w:val="24"/>
          <w:szCs w:val="24"/>
          <w:lang w:val="en-US" w:eastAsia="zh-CN"/>
        </w:rPr>
        <w:t>19932830184</w:t>
      </w:r>
      <w:r>
        <w:rPr>
          <w:rFonts w:hint="eastAsia" w:ascii="微软雅黑" w:hAnsi="微软雅黑" w:cs="微软雅黑"/>
          <w:sz w:val="24"/>
          <w:szCs w:val="24"/>
        </w:rPr>
        <w:t>（手机微信同号）</w:t>
      </w:r>
    </w:p>
    <w:p>
      <w:pPr>
        <w:rPr>
          <w:rFonts w:ascii="宋体" w:hAnsi="宋体" w:eastAsia="宋体" w:cs="宋体"/>
          <w:b/>
          <w:bCs/>
          <w:sz w:val="24"/>
          <w:szCs w:val="24"/>
        </w:rPr>
      </w:pPr>
      <w:r>
        <w:rPr>
          <w:rFonts w:hint="eastAsia" w:ascii="微软雅黑" w:hAnsi="微软雅黑" w:cs="微软雅黑"/>
          <w:sz w:val="24"/>
          <w:szCs w:val="24"/>
          <w:lang w:val="en-US" w:eastAsia="zh-CN"/>
        </w:rPr>
        <w:t xml:space="preserve">有意向的同学也邮箱投递：3235748258@qq.com </w:t>
      </w:r>
    </w:p>
    <w:p>
      <w:pP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简历格式要求：姓名+专业+学历+学校+意向岗位</w:t>
      </w:r>
    </w:p>
    <w:p>
      <w:pPr>
        <w:rPr>
          <w:rFonts w:hint="eastAsia" w:ascii="微软雅黑" w:hAnsi="微软雅黑" w:cs="微软雅黑"/>
          <w:sz w:val="24"/>
          <w:szCs w:val="24"/>
        </w:rPr>
      </w:pPr>
    </w:p>
    <w:p>
      <w:pPr>
        <w:jc w:val="center"/>
      </w:pPr>
      <w:r>
        <w:rPr>
          <w:rFonts w:hint="eastAsia" w:ascii="宋体" w:hAnsi="宋体" w:eastAsia="宋体" w:cs="宋体"/>
          <w:sz w:val="24"/>
          <w:szCs w:val="24"/>
        </w:rPr>
        <w:fldChar w:fldCharType="end"/>
      </w:r>
    </w:p>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Microsoft YaHei UI">
    <w:altName w:val="宋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294137"/>
    <w:rsid w:val="101658FE"/>
    <w:rsid w:val="3F023A70"/>
    <w:rsid w:val="512540A6"/>
    <w:rsid w:val="59AF3DB6"/>
    <w:rsid w:val="63664951"/>
    <w:rsid w:val="6E294137"/>
    <w:rsid w:val="794E5761"/>
    <w:rsid w:val="7CA51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Document Map"/>
    <w:basedOn w:val="1"/>
    <w:unhideWhenUsed/>
    <w:qFormat/>
    <w:uiPriority w:val="99"/>
    <w:pPr>
      <w:widowControl w:val="0"/>
      <w:adjustRightInd/>
      <w:snapToGrid/>
      <w:spacing w:after="0"/>
      <w:jc w:val="both"/>
    </w:pPr>
    <w:rPr>
      <w:rFonts w:ascii="Microsoft YaHei UI" w:hAnsi="Calibri" w:eastAsia="Microsoft YaHei UI" w:cs="Times New Roman"/>
      <w:kern w:val="2"/>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2021-10-29T07:16:00Z</dcterms:created>
  <dc:creator>Administrator</dc:creator>
  <cp:lastModifiedBy>Administrator</cp:lastModifiedBy>
  <dcterms:modified xsi:type="dcterms:W3CDTF">2021-11-01T02:56:58Z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94D54EB5D5BF48E3A310FB1480E03013</vt:lpwstr>
  </property>
</Properties>
</file>